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5D9" w:rsidRPr="000965D9" w:rsidRDefault="000965D9" w:rsidP="000965D9">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0965D9">
        <w:rPr>
          <w:rFonts w:ascii="Times New Roman" w:eastAsia="Times New Roman" w:hAnsi="Times New Roman" w:cs="Times New Roman"/>
          <w:color w:val="444444"/>
          <w:sz w:val="28"/>
          <w:szCs w:val="28"/>
          <w:lang w:eastAsia="ru-RU"/>
        </w:rPr>
        <w:t>Р Е Ш Е Н И Е</w:t>
      </w:r>
    </w:p>
    <w:p w:rsidR="000965D9" w:rsidRPr="000965D9" w:rsidRDefault="000965D9" w:rsidP="000965D9">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0965D9">
        <w:rPr>
          <w:rFonts w:ascii="Times New Roman" w:eastAsia="Times New Roman" w:hAnsi="Times New Roman" w:cs="Times New Roman"/>
          <w:color w:val="444444"/>
          <w:sz w:val="28"/>
          <w:szCs w:val="28"/>
          <w:lang w:eastAsia="ru-RU"/>
        </w:rPr>
        <w:t>Совета Старокуклюкского сельского поселения</w:t>
      </w:r>
    </w:p>
    <w:p w:rsidR="000965D9" w:rsidRPr="000965D9" w:rsidRDefault="000965D9" w:rsidP="000965D9">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0965D9">
        <w:rPr>
          <w:rFonts w:ascii="Times New Roman" w:eastAsia="Times New Roman" w:hAnsi="Times New Roman" w:cs="Times New Roman"/>
          <w:color w:val="444444"/>
          <w:sz w:val="28"/>
          <w:szCs w:val="28"/>
          <w:lang w:eastAsia="ru-RU"/>
        </w:rPr>
        <w:t>Елабужского муниципального района Республики Татарстан</w:t>
      </w:r>
    </w:p>
    <w:p w:rsidR="000965D9" w:rsidRPr="000965D9" w:rsidRDefault="000965D9" w:rsidP="000965D9">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0965D9">
        <w:rPr>
          <w:rFonts w:ascii="Times New Roman" w:eastAsia="Times New Roman" w:hAnsi="Times New Roman" w:cs="Times New Roman"/>
          <w:color w:val="444444"/>
          <w:sz w:val="28"/>
          <w:szCs w:val="28"/>
          <w:lang w:eastAsia="ru-RU"/>
        </w:rPr>
        <w:t> </w:t>
      </w:r>
    </w:p>
    <w:p w:rsidR="000965D9" w:rsidRPr="000965D9" w:rsidRDefault="000965D9" w:rsidP="000965D9">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0965D9">
        <w:rPr>
          <w:rFonts w:ascii="Times New Roman" w:eastAsia="Times New Roman" w:hAnsi="Times New Roman" w:cs="Times New Roman"/>
          <w:color w:val="444444"/>
          <w:sz w:val="28"/>
          <w:szCs w:val="28"/>
          <w:lang w:eastAsia="ru-RU"/>
        </w:rPr>
        <w:t> </w:t>
      </w:r>
    </w:p>
    <w:p w:rsidR="000965D9" w:rsidRPr="000965D9" w:rsidRDefault="000965D9" w:rsidP="000965D9">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0965D9">
        <w:rPr>
          <w:rFonts w:ascii="Verdana" w:eastAsia="Times New Roman" w:hAnsi="Verdana" w:cs="Times New Roman"/>
          <w:b/>
          <w:bCs/>
          <w:caps/>
          <w:color w:val="444444"/>
          <w:spacing w:val="20"/>
          <w:sz w:val="28"/>
          <w:szCs w:val="28"/>
          <w:lang w:eastAsia="ru-RU"/>
        </w:rPr>
        <w:t>РЕШЕНИЕ                                                                        КАРАР</w:t>
      </w:r>
    </w:p>
    <w:p w:rsidR="000965D9" w:rsidRPr="000965D9" w:rsidRDefault="000965D9" w:rsidP="000965D9">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0965D9">
        <w:rPr>
          <w:rFonts w:ascii="Verdana" w:eastAsia="Times New Roman" w:hAnsi="Verdana" w:cs="Times New Roman"/>
          <w:b/>
          <w:bCs/>
          <w:color w:val="444444"/>
          <w:sz w:val="28"/>
          <w:szCs w:val="28"/>
          <w:lang w:eastAsia="ru-RU"/>
        </w:rPr>
        <w:t> </w:t>
      </w:r>
    </w:p>
    <w:p w:rsidR="000965D9" w:rsidRPr="000965D9" w:rsidRDefault="000965D9" w:rsidP="000965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 134                                                                         «10»ноября 2014 г.</w:t>
      </w:r>
    </w:p>
    <w:p w:rsidR="000965D9" w:rsidRPr="000965D9" w:rsidRDefault="000965D9" w:rsidP="000965D9">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0965D9">
        <w:rPr>
          <w:rFonts w:ascii="Times New Roman" w:eastAsia="Times New Roman" w:hAnsi="Times New Roman" w:cs="Times New Roman"/>
          <w:b/>
          <w:bCs/>
          <w:color w:val="444444"/>
          <w:sz w:val="28"/>
          <w:szCs w:val="28"/>
          <w:lang w:eastAsia="ru-RU"/>
        </w:rPr>
        <w:t> </w:t>
      </w:r>
    </w:p>
    <w:p w:rsidR="000965D9" w:rsidRPr="000965D9" w:rsidRDefault="000965D9" w:rsidP="000965D9">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0965D9">
        <w:rPr>
          <w:rFonts w:ascii="Times New Roman" w:eastAsia="Times New Roman" w:hAnsi="Times New Roman" w:cs="Times New Roman"/>
          <w:b/>
          <w:bCs/>
          <w:color w:val="444444"/>
          <w:sz w:val="28"/>
          <w:szCs w:val="28"/>
          <w:lang w:eastAsia="ru-RU"/>
        </w:rPr>
        <w:t>О НАЛОГЕ НА ИМУЩЕСТВО ФИЗИЧЕСКИХ ЛИЦ</w:t>
      </w:r>
    </w:p>
    <w:p w:rsidR="000965D9" w:rsidRPr="000965D9" w:rsidRDefault="000965D9" w:rsidP="000965D9">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0965D9">
        <w:rPr>
          <w:rFonts w:ascii="Verdana" w:eastAsia="Times New Roman" w:hAnsi="Verdana" w:cs="Times New Roman"/>
          <w:b/>
          <w:bCs/>
          <w:color w:val="444444"/>
          <w:sz w:val="20"/>
          <w:szCs w:val="20"/>
          <w:lang w:eastAsia="ru-RU"/>
        </w:rPr>
        <w:t> </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В соответствии с главой 32 Налогового кодекса Российской Федерации, Законом Республики Татарстан от 30 октября 2014 года №82-ЗРТ «Об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 исходя из кадастровой стоимости объектов налогообложения» Совет Старокуклюкского сельского поселения решил:</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 </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1.</w:t>
      </w:r>
      <w:r w:rsidRPr="000965D9">
        <w:rPr>
          <w:rFonts w:ascii="Verdana" w:eastAsia="Times New Roman" w:hAnsi="Verdana" w:cs="Times New Roman"/>
          <w:color w:val="444444"/>
          <w:sz w:val="20"/>
          <w:szCs w:val="20"/>
          <w:lang w:eastAsia="ru-RU"/>
        </w:rPr>
        <w:t> </w:t>
      </w:r>
      <w:hyperlink r:id="rId4" w:history="1">
        <w:r w:rsidRPr="000965D9">
          <w:rPr>
            <w:rFonts w:ascii="Arial" w:eastAsia="Times New Roman" w:hAnsi="Arial" w:cs="Arial"/>
            <w:sz w:val="28"/>
            <w:szCs w:val="28"/>
            <w:lang w:eastAsia="ru-RU"/>
          </w:rPr>
          <w:t>Установить</w:t>
        </w:r>
      </w:hyperlink>
      <w:r w:rsidRPr="000965D9">
        <w:rPr>
          <w:rFonts w:ascii="Verdana" w:eastAsia="Times New Roman" w:hAnsi="Verdana" w:cs="Times New Roman"/>
          <w:color w:val="444444"/>
          <w:sz w:val="28"/>
          <w:szCs w:val="28"/>
          <w:lang w:eastAsia="ru-RU"/>
        </w:rPr>
        <w:t> и ввести в действие налог</w:t>
      </w:r>
      <w:r w:rsidRPr="000965D9">
        <w:rPr>
          <w:rFonts w:ascii="Verdana" w:eastAsia="Times New Roman" w:hAnsi="Verdana" w:cs="Times New Roman"/>
          <w:b/>
          <w:bCs/>
          <w:color w:val="444444"/>
          <w:sz w:val="28"/>
          <w:szCs w:val="28"/>
          <w:lang w:eastAsia="ru-RU"/>
        </w:rPr>
        <w:t> </w:t>
      </w:r>
      <w:r w:rsidRPr="000965D9">
        <w:rPr>
          <w:rFonts w:ascii="Verdana" w:eastAsia="Times New Roman" w:hAnsi="Verdana" w:cs="Times New Roman"/>
          <w:color w:val="444444"/>
          <w:sz w:val="28"/>
          <w:szCs w:val="28"/>
          <w:lang w:eastAsia="ru-RU"/>
        </w:rPr>
        <w:t>на имущество физических лиц, обязательный к уплате на территории муниципального образования Старокуклюкское сельское поселение.</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2. Установить налоговые ставки в размере:</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1) 0,1 процента в отношении:</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гаражей и машино-мест;</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lastRenderedPageBreak/>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2) 0,2  процента в отношении:</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квартир;</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комнат;</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3) 0,3 процента в отношении:</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жилых домов;</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объектов незавершенного строительства в случае, если проектируемым назначением таких объектов является жилой дом;</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единых недвижимых комплексов, в состав которых входит хотя бы одно жилое помещение (жилой дом);</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4) 2 процента в отношении:</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объектов налогообложения, включенных в перечень, определяемый в соответствии с пунктом 7 статьи 378</w:t>
      </w:r>
      <w:r w:rsidRPr="000965D9">
        <w:rPr>
          <w:rFonts w:ascii="Verdana" w:eastAsia="Times New Roman" w:hAnsi="Verdana" w:cs="Times New Roman"/>
          <w:color w:val="444444"/>
          <w:sz w:val="28"/>
          <w:szCs w:val="28"/>
          <w:vertAlign w:val="superscript"/>
          <w:lang w:eastAsia="ru-RU"/>
        </w:rPr>
        <w:t>2 </w:t>
      </w:r>
      <w:r w:rsidRPr="000965D9">
        <w:rPr>
          <w:rFonts w:ascii="Verdana" w:eastAsia="Times New Roman" w:hAnsi="Verdana" w:cs="Times New Roman"/>
          <w:b/>
          <w:bCs/>
          <w:color w:val="444444"/>
          <w:sz w:val="28"/>
          <w:szCs w:val="28"/>
          <w:vertAlign w:val="superscript"/>
          <w:lang w:eastAsia="ru-RU"/>
        </w:rPr>
        <w:t> </w:t>
      </w:r>
      <w:r w:rsidRPr="000965D9">
        <w:rPr>
          <w:rFonts w:ascii="Verdana" w:eastAsia="Times New Roman" w:hAnsi="Verdana" w:cs="Times New Roman"/>
          <w:color w:val="444444"/>
          <w:sz w:val="28"/>
          <w:szCs w:val="28"/>
          <w:lang w:eastAsia="ru-RU"/>
        </w:rPr>
        <w:t>Налогового кодекса Российской Федерации;</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объектов налогообложения, предусмотренных абзацем вторым пункта 10 статьи  378</w:t>
      </w:r>
      <w:r w:rsidRPr="000965D9">
        <w:rPr>
          <w:rFonts w:ascii="Verdana" w:eastAsia="Times New Roman" w:hAnsi="Verdana" w:cs="Times New Roman"/>
          <w:color w:val="444444"/>
          <w:sz w:val="28"/>
          <w:szCs w:val="28"/>
          <w:vertAlign w:val="superscript"/>
          <w:lang w:eastAsia="ru-RU"/>
        </w:rPr>
        <w:t>2</w:t>
      </w:r>
      <w:r w:rsidRPr="000965D9">
        <w:rPr>
          <w:rFonts w:ascii="Verdana" w:eastAsia="Times New Roman" w:hAnsi="Verdana" w:cs="Times New Roman"/>
          <w:b/>
          <w:bCs/>
          <w:color w:val="444444"/>
          <w:sz w:val="28"/>
          <w:szCs w:val="28"/>
          <w:vertAlign w:val="superscript"/>
          <w:lang w:eastAsia="ru-RU"/>
        </w:rPr>
        <w:t>  </w:t>
      </w:r>
      <w:r w:rsidRPr="000965D9">
        <w:rPr>
          <w:rFonts w:ascii="Verdana" w:eastAsia="Times New Roman" w:hAnsi="Verdana" w:cs="Times New Roman"/>
          <w:color w:val="444444"/>
          <w:sz w:val="28"/>
          <w:szCs w:val="28"/>
          <w:lang w:eastAsia="ru-RU"/>
        </w:rPr>
        <w:t>Налогового кодекса Российской Федерации;</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объектов налогообложения, кадастровая стоимость каждого из которых превышает 300 миллионов рублей;</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5) 0,5 процентов в отношении прочих объектов налогообложения.</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3. Отменить:</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 xml:space="preserve">Решение Совета Старокуклюкского сельского поселенияЕлабужского муниципального района Республики </w:t>
      </w:r>
      <w:r w:rsidRPr="000965D9">
        <w:rPr>
          <w:rFonts w:ascii="Verdana" w:eastAsia="Times New Roman" w:hAnsi="Verdana" w:cs="Times New Roman"/>
          <w:color w:val="444444"/>
          <w:sz w:val="28"/>
          <w:szCs w:val="28"/>
          <w:lang w:eastAsia="ru-RU"/>
        </w:rPr>
        <w:lastRenderedPageBreak/>
        <w:t>Татарстан от  28 ноября 2005 года №6 «О налогах на имущество физических лиц»;</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Решение Совета Старокуклюкского сельского поселения</w:t>
      </w:r>
      <w:r w:rsidRPr="000965D9">
        <w:rPr>
          <w:rFonts w:ascii="Verdana" w:eastAsia="Times New Roman" w:hAnsi="Verdana" w:cs="Times New Roman"/>
          <w:b/>
          <w:bCs/>
          <w:color w:val="444444"/>
          <w:sz w:val="28"/>
          <w:szCs w:val="28"/>
          <w:lang w:eastAsia="ru-RU"/>
        </w:rPr>
        <w:t> </w:t>
      </w:r>
      <w:r w:rsidRPr="000965D9">
        <w:rPr>
          <w:rFonts w:ascii="Verdana" w:eastAsia="Times New Roman" w:hAnsi="Verdana" w:cs="Times New Roman"/>
          <w:color w:val="444444"/>
          <w:sz w:val="28"/>
          <w:szCs w:val="28"/>
          <w:lang w:eastAsia="ru-RU"/>
        </w:rPr>
        <w:t>от 18 октября 2010 года №6 «О внесении изменений в решение Совета Старокуклюкского сельского поселения</w:t>
      </w:r>
      <w:r w:rsidRPr="000965D9">
        <w:rPr>
          <w:rFonts w:ascii="Verdana" w:eastAsia="Times New Roman" w:hAnsi="Verdana" w:cs="Times New Roman"/>
          <w:b/>
          <w:bCs/>
          <w:color w:val="444444"/>
          <w:sz w:val="28"/>
          <w:szCs w:val="28"/>
          <w:lang w:eastAsia="ru-RU"/>
        </w:rPr>
        <w:t> </w:t>
      </w:r>
      <w:r w:rsidRPr="000965D9">
        <w:rPr>
          <w:rFonts w:ascii="Verdana" w:eastAsia="Times New Roman" w:hAnsi="Verdana" w:cs="Times New Roman"/>
          <w:color w:val="444444"/>
          <w:sz w:val="28"/>
          <w:szCs w:val="28"/>
          <w:lang w:eastAsia="ru-RU"/>
        </w:rPr>
        <w:t> от 28 ноября 2005 года № 6 «О налогах на имущество физических лиц»;</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Решение  Совета Старокуклюкского сельского поселения</w:t>
      </w:r>
      <w:r w:rsidRPr="000965D9">
        <w:rPr>
          <w:rFonts w:ascii="Verdana" w:eastAsia="Times New Roman" w:hAnsi="Verdana" w:cs="Times New Roman"/>
          <w:b/>
          <w:bCs/>
          <w:color w:val="444444"/>
          <w:sz w:val="28"/>
          <w:szCs w:val="28"/>
          <w:lang w:eastAsia="ru-RU"/>
        </w:rPr>
        <w:t> </w:t>
      </w:r>
      <w:r w:rsidRPr="000965D9">
        <w:rPr>
          <w:rFonts w:ascii="Verdana" w:eastAsia="Times New Roman" w:hAnsi="Verdana" w:cs="Times New Roman"/>
          <w:color w:val="444444"/>
          <w:sz w:val="28"/>
          <w:szCs w:val="28"/>
          <w:lang w:eastAsia="ru-RU"/>
        </w:rPr>
        <w:t>от 14 ноября 2013 года №88 «О внесении изменений в решение Совета Старокуклюкского сельского поселения Елабужского муниципального района </w:t>
      </w:r>
      <w:r w:rsidRPr="000965D9">
        <w:rPr>
          <w:rFonts w:ascii="Verdana" w:eastAsia="Times New Roman" w:hAnsi="Verdana" w:cs="Times New Roman"/>
          <w:b/>
          <w:bCs/>
          <w:color w:val="444444"/>
          <w:sz w:val="28"/>
          <w:szCs w:val="28"/>
          <w:lang w:eastAsia="ru-RU"/>
        </w:rPr>
        <w:t> </w:t>
      </w:r>
      <w:r w:rsidRPr="000965D9">
        <w:rPr>
          <w:rFonts w:ascii="Verdana" w:eastAsia="Times New Roman" w:hAnsi="Verdana" w:cs="Times New Roman"/>
          <w:color w:val="444444"/>
          <w:sz w:val="28"/>
          <w:szCs w:val="28"/>
          <w:lang w:eastAsia="ru-RU"/>
        </w:rPr>
        <w:t>от 28 ноября 2005 года № 6 «О налогах на имущество физических лиц»;</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4. Настоящее Решение вступает в силу с 1 января 2015 года, но не ранее чем по истечении одного месяца со дня его официального опубликования.</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5. Контроль за исполнением настоящего решения оставляю за собой.</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 </w:t>
      </w:r>
    </w:p>
    <w:p w:rsidR="000965D9" w:rsidRPr="000965D9" w:rsidRDefault="000965D9" w:rsidP="000965D9">
      <w:pPr>
        <w:shd w:val="clear" w:color="auto" w:fill="FFFFFF"/>
        <w:spacing w:before="100" w:beforeAutospacing="1" w:after="100" w:afterAutospacing="1" w:line="240" w:lineRule="auto"/>
        <w:ind w:firstLine="709"/>
        <w:jc w:val="both"/>
        <w:rPr>
          <w:rFonts w:ascii="Verdana" w:eastAsia="Times New Roman" w:hAnsi="Verdana" w:cs="Times New Roman"/>
          <w:color w:val="444444"/>
          <w:sz w:val="20"/>
          <w:szCs w:val="20"/>
          <w:lang w:eastAsia="ru-RU"/>
        </w:rPr>
      </w:pPr>
      <w:r w:rsidRPr="000965D9">
        <w:rPr>
          <w:rFonts w:ascii="Verdana" w:eastAsia="Times New Roman" w:hAnsi="Verdana" w:cs="Times New Roman"/>
          <w:color w:val="444444"/>
          <w:sz w:val="28"/>
          <w:szCs w:val="28"/>
          <w:lang w:eastAsia="ru-RU"/>
        </w:rPr>
        <w:t> </w:t>
      </w:r>
    </w:p>
    <w:p w:rsidR="000965D9" w:rsidRPr="000965D9" w:rsidRDefault="000965D9" w:rsidP="000965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0965D9">
        <w:rPr>
          <w:rFonts w:ascii="Verdana" w:eastAsia="Times New Roman" w:hAnsi="Verdana" w:cs="Times New Roman"/>
          <w:b/>
          <w:bCs/>
          <w:color w:val="444444"/>
          <w:sz w:val="28"/>
          <w:szCs w:val="28"/>
          <w:lang w:eastAsia="ru-RU"/>
        </w:rPr>
        <w:t> </w:t>
      </w:r>
    </w:p>
    <w:p w:rsidR="000965D9" w:rsidRPr="000965D9" w:rsidRDefault="000965D9" w:rsidP="000965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0965D9">
        <w:rPr>
          <w:rFonts w:ascii="Verdana" w:eastAsia="Times New Roman" w:hAnsi="Verdana" w:cs="Times New Roman"/>
          <w:b/>
          <w:bCs/>
          <w:color w:val="444444"/>
          <w:sz w:val="28"/>
          <w:szCs w:val="28"/>
          <w:lang w:eastAsia="ru-RU"/>
        </w:rPr>
        <w:t> </w:t>
      </w:r>
    </w:p>
    <w:p w:rsidR="000965D9" w:rsidRPr="000965D9" w:rsidRDefault="000965D9" w:rsidP="000965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0965D9">
        <w:rPr>
          <w:rFonts w:ascii="Verdana" w:eastAsia="Times New Roman" w:hAnsi="Verdana" w:cs="Times New Roman"/>
          <w:b/>
          <w:bCs/>
          <w:color w:val="444444"/>
          <w:sz w:val="28"/>
          <w:szCs w:val="28"/>
          <w:lang w:eastAsia="ru-RU"/>
        </w:rPr>
        <w:t> </w:t>
      </w:r>
    </w:p>
    <w:p w:rsidR="000965D9" w:rsidRPr="000965D9" w:rsidRDefault="000965D9" w:rsidP="000965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0965D9">
        <w:rPr>
          <w:rFonts w:ascii="Verdana" w:eastAsia="Times New Roman" w:hAnsi="Verdana" w:cs="Times New Roman"/>
          <w:b/>
          <w:bCs/>
          <w:color w:val="444444"/>
          <w:sz w:val="28"/>
          <w:szCs w:val="28"/>
          <w:lang w:eastAsia="ru-RU"/>
        </w:rPr>
        <w:t> </w:t>
      </w:r>
    </w:p>
    <w:p w:rsidR="000965D9" w:rsidRPr="000965D9" w:rsidRDefault="000965D9" w:rsidP="000965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0965D9">
        <w:rPr>
          <w:rFonts w:ascii="Verdana" w:eastAsia="Times New Roman" w:hAnsi="Verdana" w:cs="Times New Roman"/>
          <w:b/>
          <w:bCs/>
          <w:color w:val="444444"/>
          <w:sz w:val="28"/>
          <w:szCs w:val="28"/>
          <w:lang w:eastAsia="ru-RU"/>
        </w:rPr>
        <w:t> </w:t>
      </w:r>
    </w:p>
    <w:p w:rsidR="000965D9" w:rsidRPr="000965D9" w:rsidRDefault="000965D9" w:rsidP="000965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0965D9">
        <w:rPr>
          <w:rFonts w:ascii="Verdana" w:eastAsia="Times New Roman" w:hAnsi="Verdana" w:cs="Times New Roman"/>
          <w:b/>
          <w:bCs/>
          <w:color w:val="444444"/>
          <w:sz w:val="28"/>
          <w:szCs w:val="28"/>
          <w:lang w:eastAsia="ru-RU"/>
        </w:rPr>
        <w:t>Глава</w:t>
      </w:r>
    </w:p>
    <w:p w:rsidR="000965D9" w:rsidRPr="000965D9" w:rsidRDefault="000965D9" w:rsidP="000965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0965D9">
        <w:rPr>
          <w:rFonts w:ascii="Verdana" w:eastAsia="Times New Roman" w:hAnsi="Verdana" w:cs="Times New Roman"/>
          <w:b/>
          <w:bCs/>
          <w:color w:val="444444"/>
          <w:sz w:val="28"/>
          <w:szCs w:val="28"/>
          <w:lang w:eastAsia="ru-RU"/>
        </w:rPr>
        <w:t>Старокуклюкского сельского поселения</w:t>
      </w:r>
    </w:p>
    <w:p w:rsidR="000965D9" w:rsidRPr="000965D9" w:rsidRDefault="000965D9" w:rsidP="000965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0965D9">
        <w:rPr>
          <w:rFonts w:ascii="Verdana" w:eastAsia="Times New Roman" w:hAnsi="Verdana" w:cs="Times New Roman"/>
          <w:b/>
          <w:bCs/>
          <w:color w:val="444444"/>
          <w:sz w:val="28"/>
          <w:szCs w:val="28"/>
          <w:lang w:eastAsia="ru-RU"/>
        </w:rPr>
        <w:t>Елабужского муниципального района                                    А.Б. Бахметов</w:t>
      </w:r>
    </w:p>
    <w:p w:rsidR="000965D9" w:rsidRPr="000965D9" w:rsidRDefault="000965D9" w:rsidP="000965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0965D9">
        <w:rPr>
          <w:rFonts w:ascii="Verdana" w:eastAsia="Times New Roman" w:hAnsi="Verdana" w:cs="Times New Roman"/>
          <w:b/>
          <w:bCs/>
          <w:color w:val="444444"/>
          <w:sz w:val="28"/>
          <w:szCs w:val="28"/>
          <w:lang w:eastAsia="ru-RU"/>
        </w:rPr>
        <w:t> </w:t>
      </w:r>
    </w:p>
    <w:p w:rsidR="000C11D9" w:rsidRDefault="000C11D9">
      <w:bookmarkStart w:id="0" w:name="_GoBack"/>
      <w:bookmarkEnd w:id="0"/>
    </w:p>
    <w:sectPr w:rsidR="000C1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66"/>
    <w:rsid w:val="000965D9"/>
    <w:rsid w:val="000C11D9"/>
    <w:rsid w:val="00D7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AEF04-7CAA-47D8-918B-09C2BE54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096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965D9"/>
    <w:rPr>
      <w:b/>
      <w:bCs/>
    </w:rPr>
  </w:style>
  <w:style w:type="character" w:customStyle="1" w:styleId="apple-converted-space">
    <w:name w:val="apple-converted-space"/>
    <w:basedOn w:val="a0"/>
    <w:rsid w:val="000965D9"/>
  </w:style>
  <w:style w:type="paragraph" w:customStyle="1" w:styleId="consplusnormal">
    <w:name w:val="consplusnormal"/>
    <w:basedOn w:val="a"/>
    <w:rsid w:val="00096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96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965D9"/>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65D9"/>
    <w:rPr>
      <w:color w:val="0000FF"/>
      <w:u w:val="single"/>
    </w:rPr>
  </w:style>
  <w:style w:type="paragraph" w:styleId="a5">
    <w:name w:val="List Paragraph"/>
    <w:basedOn w:val="a"/>
    <w:uiPriority w:val="34"/>
    <w:qFormat/>
    <w:rsid w:val="000965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DA1A62FCFA06925984FDBC91BCEC9936B5242C1AE1E2AD2D1341D85E31F897EC177E1F6g8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2017-04-11T13:02:00Z</dcterms:created>
  <dcterms:modified xsi:type="dcterms:W3CDTF">2017-04-11T13:02:00Z</dcterms:modified>
</cp:coreProperties>
</file>