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Совет муниципального образования</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«Старокуклюкское сельское поселение»</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Елабужского муниципального района</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Республики Татарстан</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РЕШЕНИЕ</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131                                                                               «10» ноября 2014г.</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О проекте решения "О  внесении изменений и дополнений</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в Устав муниципального образования</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«Старокуклюкское сельское поселение»</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В соответствии со ст. 44 Федерального закона "Об общих принципах организации местного самоуправления в Российской Федерации", Совет Старокуклюкского сельского поселения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РЕШИЛ:</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 Принять в первом чтении проект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(приложение № 1).</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2.  Утвердить:</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порядок учета предложений граждан по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(приложение № 2);</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порядок проведения публичных слушаний по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(приложение № 3).</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xml:space="preserve">3. Назначить проведение публичных слушаний по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на </w:t>
      </w:r>
      <w:r w:rsidRPr="00610D54">
        <w:rPr>
          <w:rFonts w:ascii="Verdana" w:eastAsia="Times New Roman" w:hAnsi="Verdana" w:cs="Times New Roman"/>
          <w:color w:val="444444"/>
          <w:sz w:val="20"/>
          <w:szCs w:val="20"/>
          <w:lang w:eastAsia="ru-RU"/>
        </w:rPr>
        <w:lastRenderedPageBreak/>
        <w:t>"27"  ноября  2014 года в 14:00 часов в актовом зале   в  Старокуклюкском доме культуры по адресу  Республика Татарстан, Елабужский муниципальный район, с.Старый Куклюк, ул.Школьная, д.36.</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Заключение по результатам публичных слушаний подлежит обнародованию.</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4. Обнародовать настоящее решение путем вывешивания на информационном стенде и разместить на офицальном  сайте муниципального образования.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5.  Контроль за исполнением настоящего решения оставляю за собой.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Глава                                                                                                А.Б.Бахметов</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Приложение № 1 к решению</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Совета Старокуклюкского сельского поселения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от «10» ноября 2014г. №  131</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Изменения и дополнения в Устав муниципального</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образования Старокуклюкское сельское поселение</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1.     Статью 4 дополнить пунктом 3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2.     Статью 5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lastRenderedPageBreak/>
        <w:t>« Статья 5. Вопросы местного значения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w:t>
      </w:r>
      <w:r w:rsidRPr="00610D54">
        <w:rPr>
          <w:rFonts w:ascii="Verdana" w:eastAsia="Times New Roman" w:hAnsi="Verdana" w:cs="Times New Roman"/>
          <w:b/>
          <w:bCs/>
          <w:color w:val="444444"/>
          <w:sz w:val="20"/>
          <w:szCs w:val="20"/>
          <w:lang w:eastAsia="ru-RU"/>
        </w:rPr>
        <w:t> </w:t>
      </w:r>
      <w:r w:rsidRPr="00610D54">
        <w:rPr>
          <w:rFonts w:ascii="Verdana" w:eastAsia="Times New Roman" w:hAnsi="Verdana" w:cs="Times New Roman"/>
          <w:color w:val="444444"/>
          <w:sz w:val="20"/>
          <w:szCs w:val="20"/>
          <w:lang w:eastAsia="ru-RU"/>
        </w:rPr>
        <w:t>К вопросам местного значения Поселения относятся: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2) установление, изменение и отмена местных налогов и сборов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3) владение, пользование и распоряжение имуществом, находящимся в муниципальной собственности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4) обеспечение первичных мер пожарной безопасности в границах населенных пунктов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6) создание условий для организации досуга и обеспечения жителей поселения услугами организаций культуры;</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8) формирование архивных фондов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12) организация и осуществление мероприятий по работе с детьми и молодежью в поселении;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lastRenderedPageBreak/>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Елабужского муниципального района в соответствии с Бюджетным кодексом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3.     Часть 1 статьи 6 дополнить пунктом 12, 13 следующего содержания: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 w:history="1">
        <w:r w:rsidRPr="00610D54">
          <w:rPr>
            <w:rFonts w:ascii="Arial" w:eastAsia="Times New Roman" w:hAnsi="Arial" w:cs="Arial"/>
            <w:color w:val="251902"/>
            <w:sz w:val="18"/>
            <w:szCs w:val="18"/>
            <w:lang w:eastAsia="ru-RU"/>
          </w:rPr>
          <w:t>законодательством</w:t>
        </w:r>
      </w:hyperlink>
      <w:r w:rsidRPr="00610D54">
        <w:rPr>
          <w:rFonts w:ascii="Verdana" w:eastAsia="Times New Roman" w:hAnsi="Verdana" w:cs="Times New Roman"/>
          <w:color w:val="444444"/>
          <w:sz w:val="20"/>
          <w:szCs w:val="20"/>
          <w:lang w:eastAsia="ru-RU"/>
        </w:rPr>
        <w:t>.»</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4.     Статью 64 дополнить пунктом 5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«5.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5.  Абзац 4 пункта 9 статьи 70 исключить;</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6. Статью 72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«Статья 72. Муниципальное имущество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7. Часть 1,2 статьи 78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lastRenderedPageBreak/>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Бюджетные полномочия муниципального образования устанавливаются Бюджетным кодексом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8. Часть 4 статьи 78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В случае,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9. Часть 7 статьи 78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«7. Составление проекта бюджета Поселения основывается на:</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положениях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основных направлениях бюджетной политики и основных направлениях налоговой политики;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основных направлениях таможенно-тарифной политики Российской Федерации;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прогнозе социально-экономического развития;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lastRenderedPageBreak/>
        <w:t>бюджетном прогнозе (проекте бюджетного прогноза, проекте изменений бюджетного прогноза) на долгосрочный период;</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муниципальных программах (проектах муниципальных программ, проектах изменений указанных программ).»</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r w:rsidRPr="00610D54">
        <w:rPr>
          <w:rFonts w:ascii="Verdana" w:eastAsia="Times New Roman" w:hAnsi="Verdana" w:cs="Times New Roman"/>
          <w:b/>
          <w:bCs/>
          <w:color w:val="444444"/>
          <w:sz w:val="20"/>
          <w:szCs w:val="20"/>
          <w:lang w:eastAsia="ru-RU"/>
        </w:rPr>
        <w:t>10.  Часть 9 статьи 78 исключить.</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11.Части 18, 19 статьи 78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«18.</w:t>
      </w:r>
      <w:r w:rsidRPr="00610D54">
        <w:rPr>
          <w:rFonts w:ascii="Verdana" w:eastAsia="Times New Roman" w:hAnsi="Verdana" w:cs="Times New Roman"/>
          <w:b/>
          <w:bCs/>
          <w:color w:val="444444"/>
          <w:sz w:val="20"/>
          <w:szCs w:val="20"/>
          <w:lang w:eastAsia="ru-RU"/>
        </w:rPr>
        <w:t> </w:t>
      </w:r>
      <w:r w:rsidRPr="00610D54">
        <w:rPr>
          <w:rFonts w:ascii="Verdana" w:eastAsia="Times New Roman" w:hAnsi="Verdana" w:cs="Times New Roman"/>
          <w:color w:val="444444"/>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19. </w:t>
      </w:r>
      <w:bookmarkStart w:id="0" w:name="sub_5301"/>
      <w:r w:rsidRPr="00610D54">
        <w:rPr>
          <w:rFonts w:ascii="Verdana" w:eastAsia="Times New Roman" w:hAnsi="Verdana" w:cs="Times New Roman"/>
          <w:color w:val="444444"/>
          <w:sz w:val="20"/>
          <w:szCs w:val="20"/>
          <w:lang w:eastAsia="ru-RU"/>
        </w:rPr>
        <w:t>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w:t>
      </w:r>
      <w:bookmarkEnd w:id="0"/>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bookmarkStart w:id="1" w:name="sub_5302"/>
      <w:r w:rsidRPr="00610D54">
        <w:rPr>
          <w:rFonts w:ascii="Verdana" w:eastAsia="Times New Roman" w:hAnsi="Verdana" w:cs="Times New Roman"/>
          <w:color w:val="444444"/>
          <w:sz w:val="20"/>
          <w:szCs w:val="20"/>
          <w:lang w:eastAsia="ru-RU"/>
        </w:rPr>
        <w:t> Исполнение расходных обязательств осуществляется за счет средств местного бюджета в соответствии с требованиями Бюджетного кодекса Российской Федерации.»</w:t>
      </w:r>
      <w:bookmarkEnd w:id="1"/>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12. Часть 1 статьи 83 изложить в следующей редакции:</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 Бюджетная отчетность Поселения является годовой. Отчет об исполнении бюджета является ежеквартальным.</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w:t>
      </w:r>
      <w:r w:rsidRPr="00610D54">
        <w:rPr>
          <w:rFonts w:ascii="Verdana" w:eastAsia="Times New Roman" w:hAnsi="Verdana" w:cs="Times New Roman"/>
          <w:b/>
          <w:bCs/>
          <w:color w:val="444444"/>
          <w:sz w:val="20"/>
          <w:szCs w:val="20"/>
          <w:lang w:eastAsia="ru-RU"/>
        </w:rPr>
        <w:t> </w:t>
      </w:r>
      <w:r w:rsidRPr="00610D54">
        <w:rPr>
          <w:rFonts w:ascii="Verdana" w:eastAsia="Times New Roman" w:hAnsi="Verdana" w:cs="Times New Roman"/>
          <w:color w:val="444444"/>
          <w:sz w:val="20"/>
          <w:szCs w:val="20"/>
          <w:lang w:eastAsia="ru-RU"/>
        </w:rPr>
        <w:t>Контрольно-счетную палату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lastRenderedPageBreak/>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                                                            Приложение № 2 к решению</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Совета Старокуклюкского сельского поселения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от «10» ноября  2014г. № 131</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Порядок учета предложений граждан к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и участия граждан в его обсуждении</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 Предложения к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вносятся в Совет Старокуклюкского сельского поселения  Елабужского муниципального района  Республики Татарстан" по адресу: Республика Татарстан, Елабужский муниципальный района, с. Старый Куклюк, ул.Садовая , д.1а в письменной форме или посредством факсимильной связи 7-48-32 в виде таблицы  согласно прилагаемому образцу:</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bl>
      <w:tblPr>
        <w:tblW w:w="10440" w:type="dxa"/>
        <w:tblCellSpacing w:w="0" w:type="dxa"/>
        <w:shd w:val="clear" w:color="auto" w:fill="FFFFFF"/>
        <w:tblCellMar>
          <w:left w:w="0" w:type="dxa"/>
          <w:right w:w="0" w:type="dxa"/>
        </w:tblCellMar>
        <w:tblLook w:val="04A0" w:firstRow="1" w:lastRow="0" w:firstColumn="1" w:lastColumn="0" w:noHBand="0" w:noVBand="1"/>
      </w:tblPr>
      <w:tblGrid>
        <w:gridCol w:w="540"/>
        <w:gridCol w:w="1800"/>
        <w:gridCol w:w="1035"/>
        <w:gridCol w:w="945"/>
        <w:gridCol w:w="1080"/>
        <w:gridCol w:w="1800"/>
        <w:gridCol w:w="1800"/>
        <w:gridCol w:w="1440"/>
      </w:tblGrid>
      <w:tr w:rsidR="00610D54" w:rsidRPr="00610D54" w:rsidTr="00610D54">
        <w:trPr>
          <w:tblCellSpacing w:w="0" w:type="dxa"/>
        </w:trPr>
        <w:tc>
          <w:tcPr>
            <w:tcW w:w="5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N  </w:t>
            </w:r>
            <w:r w:rsidRPr="00610D54">
              <w:rPr>
                <w:rFonts w:ascii="Verdana" w:eastAsia="Times New Roman" w:hAnsi="Verdana" w:cs="Times New Roman"/>
                <w:color w:val="444444"/>
                <w:sz w:val="20"/>
                <w:szCs w:val="20"/>
                <w:lang w:eastAsia="ru-RU"/>
              </w:rPr>
              <w:br/>
              <w:t>п/п</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Инициатор  </w:t>
            </w:r>
            <w:r w:rsidRPr="00610D54">
              <w:rPr>
                <w:rFonts w:ascii="Verdana" w:eastAsia="Times New Roman" w:hAnsi="Verdana" w:cs="Times New Roman"/>
                <w:color w:val="444444"/>
                <w:sz w:val="20"/>
                <w:szCs w:val="20"/>
                <w:lang w:eastAsia="ru-RU"/>
              </w:rPr>
              <w:br/>
              <w:t>внесения   </w:t>
            </w:r>
            <w:r w:rsidRPr="00610D54">
              <w:rPr>
                <w:rFonts w:ascii="Verdana" w:eastAsia="Times New Roman" w:hAnsi="Verdana" w:cs="Times New Roman"/>
                <w:color w:val="444444"/>
                <w:sz w:val="20"/>
                <w:szCs w:val="20"/>
                <w:lang w:eastAsia="ru-RU"/>
              </w:rPr>
              <w:br/>
              <w:t>предложений</w:t>
            </w:r>
          </w:p>
        </w:tc>
        <w:tc>
          <w:tcPr>
            <w:tcW w:w="103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Дата    </w:t>
            </w:r>
            <w:r w:rsidRPr="00610D54">
              <w:rPr>
                <w:rFonts w:ascii="Verdana" w:eastAsia="Times New Roman" w:hAnsi="Verdana" w:cs="Times New Roman"/>
                <w:color w:val="444444"/>
                <w:sz w:val="20"/>
                <w:szCs w:val="20"/>
                <w:lang w:eastAsia="ru-RU"/>
              </w:rPr>
              <w:br/>
              <w:t>внесения</w:t>
            </w:r>
          </w:p>
        </w:tc>
        <w:tc>
          <w:tcPr>
            <w:tcW w:w="94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Абзац,</w:t>
            </w:r>
            <w:r w:rsidRPr="00610D54">
              <w:rPr>
                <w:rFonts w:ascii="Verdana" w:eastAsia="Times New Roman" w:hAnsi="Verdana" w:cs="Times New Roman"/>
                <w:color w:val="444444"/>
                <w:sz w:val="20"/>
                <w:szCs w:val="20"/>
                <w:lang w:eastAsia="ru-RU"/>
              </w:rPr>
              <w:br/>
              <w:t>пункт,</w:t>
            </w:r>
            <w:r w:rsidRPr="00610D54">
              <w:rPr>
                <w:rFonts w:ascii="Verdana" w:eastAsia="Times New Roman" w:hAnsi="Verdana" w:cs="Times New Roman"/>
                <w:color w:val="444444"/>
                <w:sz w:val="20"/>
                <w:szCs w:val="20"/>
                <w:lang w:eastAsia="ru-RU"/>
              </w:rPr>
              <w:br/>
              <w:t>часть,</w:t>
            </w:r>
            <w:r w:rsidRPr="00610D54">
              <w:rPr>
                <w:rFonts w:ascii="Verdana" w:eastAsia="Times New Roman" w:hAnsi="Verdana" w:cs="Times New Roman"/>
                <w:color w:val="444444"/>
                <w:sz w:val="20"/>
                <w:szCs w:val="20"/>
                <w:lang w:eastAsia="ru-RU"/>
              </w:rPr>
              <w:br/>
              <w:t>статья</w:t>
            </w:r>
          </w:p>
        </w:tc>
        <w:tc>
          <w:tcPr>
            <w:tcW w:w="108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Текст  </w:t>
            </w:r>
            <w:r w:rsidRPr="00610D54">
              <w:rPr>
                <w:rFonts w:ascii="Verdana" w:eastAsia="Times New Roman" w:hAnsi="Verdana" w:cs="Times New Roman"/>
                <w:color w:val="444444"/>
                <w:sz w:val="20"/>
                <w:szCs w:val="20"/>
                <w:lang w:eastAsia="ru-RU"/>
              </w:rPr>
              <w:br/>
              <w:t>проекта</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Текст</w:t>
            </w:r>
          </w:p>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предложения</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Текст проекта</w:t>
            </w:r>
            <w:r w:rsidRPr="00610D54">
              <w:rPr>
                <w:rFonts w:ascii="Verdana" w:eastAsia="Times New Roman" w:hAnsi="Verdana" w:cs="Times New Roman"/>
                <w:color w:val="444444"/>
                <w:sz w:val="20"/>
                <w:szCs w:val="20"/>
                <w:lang w:eastAsia="ru-RU"/>
              </w:rPr>
              <w:br/>
              <w:t>с учетом     </w:t>
            </w:r>
            <w:r w:rsidRPr="00610D54">
              <w:rPr>
                <w:rFonts w:ascii="Verdana" w:eastAsia="Times New Roman" w:hAnsi="Verdana" w:cs="Times New Roman"/>
                <w:color w:val="444444"/>
                <w:sz w:val="20"/>
                <w:szCs w:val="20"/>
                <w:lang w:eastAsia="ru-RU"/>
              </w:rPr>
              <w:br/>
              <w:t>внесенного   </w:t>
            </w:r>
            <w:r w:rsidRPr="00610D54">
              <w:rPr>
                <w:rFonts w:ascii="Verdana" w:eastAsia="Times New Roman" w:hAnsi="Verdana" w:cs="Times New Roman"/>
                <w:color w:val="444444"/>
                <w:sz w:val="20"/>
                <w:szCs w:val="20"/>
                <w:lang w:eastAsia="ru-RU"/>
              </w:rPr>
              <w:br/>
              <w:t>предложения </w:t>
            </w:r>
          </w:p>
        </w:tc>
        <w:tc>
          <w:tcPr>
            <w:tcW w:w="14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Примечание</w:t>
            </w:r>
          </w:p>
        </w:tc>
      </w:tr>
      <w:tr w:rsidR="00610D54" w:rsidRPr="00610D54" w:rsidTr="00610D54">
        <w:trPr>
          <w:tblCellSpacing w:w="0" w:type="dxa"/>
        </w:trPr>
        <w:tc>
          <w:tcPr>
            <w:tcW w:w="5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2    </w:t>
            </w:r>
          </w:p>
        </w:tc>
        <w:tc>
          <w:tcPr>
            <w:tcW w:w="103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3  </w:t>
            </w:r>
          </w:p>
        </w:tc>
        <w:tc>
          <w:tcPr>
            <w:tcW w:w="94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4 </w:t>
            </w:r>
          </w:p>
        </w:tc>
        <w:tc>
          <w:tcPr>
            <w:tcW w:w="108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5  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6    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7     </w:t>
            </w:r>
          </w:p>
        </w:tc>
        <w:tc>
          <w:tcPr>
            <w:tcW w:w="14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8    </w:t>
            </w:r>
          </w:p>
        </w:tc>
      </w:tr>
      <w:tr w:rsidR="00610D54" w:rsidRPr="00610D54" w:rsidTr="00610D54">
        <w:trPr>
          <w:tblCellSpacing w:w="0" w:type="dxa"/>
        </w:trPr>
        <w:tc>
          <w:tcPr>
            <w:tcW w:w="5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lastRenderedPageBreak/>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03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94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08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4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r>
      <w:tr w:rsidR="00610D54" w:rsidRPr="00610D54" w:rsidTr="00610D54">
        <w:trPr>
          <w:tblCellSpacing w:w="0" w:type="dxa"/>
        </w:trPr>
        <w:tc>
          <w:tcPr>
            <w:tcW w:w="5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03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94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08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4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r>
      <w:tr w:rsidR="00610D54" w:rsidRPr="00610D54" w:rsidTr="00610D54">
        <w:trPr>
          <w:tblCellSpacing w:w="0" w:type="dxa"/>
        </w:trPr>
        <w:tc>
          <w:tcPr>
            <w:tcW w:w="5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03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945"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08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80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c>
          <w:tcPr>
            <w:tcW w:w="1440" w:type="dxa"/>
            <w:shd w:val="clear" w:color="auto" w:fill="FFFFFF"/>
            <w:hideMark/>
          </w:tcPr>
          <w:p w:rsidR="00610D54" w:rsidRPr="00610D54" w:rsidRDefault="00610D54" w:rsidP="00610D54">
            <w:pPr>
              <w:spacing w:before="100" w:beforeAutospacing="1" w:after="100" w:afterAutospacing="1" w:line="312" w:lineRule="atLeast"/>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tc>
      </w:tr>
    </w:tbl>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2. Предложения к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принимаются в рабочие дни с 8 до 17 часов до "25" ноября 2014 года</w:t>
      </w:r>
      <w:r w:rsidRPr="00610D54">
        <w:rPr>
          <w:rFonts w:ascii="Verdana" w:eastAsia="Times New Roman" w:hAnsi="Verdana" w:cs="Times New Roman"/>
          <w:b/>
          <w:bCs/>
          <w:color w:val="444444"/>
          <w:sz w:val="20"/>
          <w:szCs w:val="20"/>
          <w:lang w:eastAsia="ru-RU"/>
        </w:rPr>
        <w:t>  </w:t>
      </w:r>
      <w:r w:rsidRPr="00610D54">
        <w:rPr>
          <w:rFonts w:ascii="Verdana" w:eastAsia="Times New Roman" w:hAnsi="Verdana" w:cs="Times New Roman"/>
          <w:color w:val="444444"/>
          <w:sz w:val="20"/>
          <w:szCs w:val="20"/>
          <w:lang w:eastAsia="ru-RU"/>
        </w:rPr>
        <w:t>со дня официального  опубликования проекта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3. Заявки на участие в публичных слушаниях с правом выступления подаются по адресу: Республика Татарстан, Елабужский муниципальный района, с. Старый Куклюк, ул.Садовая , д.1а  лично или по почте (с пометкой на конверте "обсуждение Устава"), а также по факсу 7-48-32.</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4. Предложения граждан регистрируются сотрудниками Совета Старокуклюкского  сельского поселения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Приложение № 3 к решению</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Совета Старокуклюкского сельского поселения Елабужского муниципального района  Республики Татарстан</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от «10» ноября 2014г. № 131</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Порядок проведения публичных слушаний по проекту  решения</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"О внесении изменений  и дополнений в Устав муниципального образования «Старокуклюкское сельское поселение»</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t>Елабужского муниципального района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b/>
          <w:bCs/>
          <w:color w:val="444444"/>
          <w:sz w:val="20"/>
          <w:szCs w:val="20"/>
          <w:lang w:eastAsia="ru-RU"/>
        </w:rPr>
        <w:lastRenderedPageBreak/>
        <w:t>Республики Татарстан"</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 Публичные слушания по проекту  решения "О внесении изменений и дополнений  в Устав муниципального образования «Старокуклюкское сельское поселение»  Елабужского муниципального района  Республики Татарстан" (далее-публичные слушания) 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«Старокуклюкское сельское поселение»  Елабужского муниципального района  Республики Татарстан, утвержденным решением Совета Старокуклюкского сельского поселения  Елабужского муниципального района  Республики Татарстан за № 41/1 от 30 апреля 2012 года.</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3. Участниками публичных слушаний без права выступления на публичных слушаниях могут быть все заинтересованные жители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4. Регистрация участников начинается за один час до начала публичных слушаний.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lastRenderedPageBreak/>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13. Протокол публичных слушаний подписывается председательствующим и хранится в Совете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15. Организационное и материально-техническое обеспечение проведения публичных слушаний осуществляется  Советом поселения.</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610D54" w:rsidRPr="00610D54" w:rsidRDefault="00610D54" w:rsidP="00610D54">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610D54">
        <w:rPr>
          <w:rFonts w:ascii="Verdana" w:eastAsia="Times New Roman" w:hAnsi="Verdana" w:cs="Times New Roman"/>
          <w:color w:val="444444"/>
          <w:sz w:val="20"/>
          <w:szCs w:val="20"/>
          <w:lang w:eastAsia="ru-RU"/>
        </w:rPr>
        <w:t> </w:t>
      </w:r>
    </w:p>
    <w:p w:rsidR="005D045C" w:rsidRDefault="005D045C">
      <w:bookmarkStart w:id="2" w:name="_GoBack"/>
      <w:bookmarkEnd w:id="2"/>
    </w:p>
    <w:sectPr w:rsidR="005D0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F"/>
    <w:rsid w:val="005D045C"/>
    <w:rsid w:val="00610D54"/>
    <w:rsid w:val="008B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02EC0-56C2-4CD5-A856-5CAEFB9F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D54"/>
    <w:rPr>
      <w:b/>
      <w:bCs/>
    </w:rPr>
  </w:style>
  <w:style w:type="character" w:customStyle="1" w:styleId="apple-converted-space">
    <w:name w:val="apple-converted-space"/>
    <w:basedOn w:val="a0"/>
    <w:rsid w:val="00610D54"/>
  </w:style>
  <w:style w:type="character" w:styleId="a5">
    <w:name w:val="Hyperlink"/>
    <w:basedOn w:val="a0"/>
    <w:uiPriority w:val="99"/>
    <w:semiHidden/>
    <w:unhideWhenUsed/>
    <w:rsid w:val="00610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019DD3A1289F9D9BF71C9B4353982D99C21BB26B942D35F903D827271C15163D6900AEE5E5BA42Bx1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2017-04-11T13:22:00Z</dcterms:created>
  <dcterms:modified xsi:type="dcterms:W3CDTF">2017-04-11T13:22:00Z</dcterms:modified>
</cp:coreProperties>
</file>