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4E" w:rsidRPr="009B034E" w:rsidRDefault="009B034E">
      <w:pPr>
        <w:rPr>
          <w:i/>
          <w:sz w:val="32"/>
          <w:szCs w:val="3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B034E">
        <w:rPr>
          <w:i/>
          <w:sz w:val="32"/>
          <w:szCs w:val="32"/>
          <w:lang w:val="ru-RU"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B034E" w:rsidTr="009B03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34E" w:rsidRDefault="009B034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СОВЕТ СТАРОКУКЛЮКСКОГО</w:t>
            </w:r>
          </w:p>
          <w:p w:rsidR="009B034E" w:rsidRDefault="009B034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СЕЛЬСКОГО ПОСЕЛЕНИЯ ЕЛАБУЖСКОГО МУНИЦИПАЛЬНОГО</w:t>
            </w:r>
          </w:p>
          <w:p w:rsidR="009B034E" w:rsidRDefault="009B034E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9B034E" w:rsidRDefault="009B034E">
            <w:pPr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34E" w:rsidRDefault="009B034E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 wp14:anchorId="1B96D9F4" wp14:editId="05341CCB">
                  <wp:extent cx="651510" cy="662305"/>
                  <wp:effectExtent l="0" t="0" r="0" b="4445"/>
                  <wp:docPr id="1" name="Рисунок 1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B034E" w:rsidRDefault="009B034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ТАТАРСТАН </w:t>
            </w:r>
          </w:p>
          <w:p w:rsidR="009B034E" w:rsidRDefault="009B034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РЕСПУБЛИКАСЫ</w:t>
            </w:r>
          </w:p>
          <w:p w:rsidR="009B034E" w:rsidRDefault="009B034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АЛАБУГА  </w:t>
            </w:r>
          </w:p>
          <w:p w:rsidR="009B034E" w:rsidRDefault="009B034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МУНИЦИПАЛЬ РАЙОНЫ  </w:t>
            </w:r>
          </w:p>
          <w:p w:rsidR="009B034E" w:rsidRDefault="009B034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ИСКЕ КУКЛЕК</w:t>
            </w:r>
          </w:p>
          <w:p w:rsidR="009B034E" w:rsidRDefault="009B034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 xml:space="preserve">АВЫЛ ЖИРЛЕГЕ  </w:t>
            </w:r>
          </w:p>
          <w:p w:rsidR="009B034E" w:rsidRDefault="009B034E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tt-RU"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 </w:t>
            </w:r>
          </w:p>
          <w:p w:rsidR="009B034E" w:rsidRDefault="009B034E">
            <w:pPr>
              <w:spacing w:line="300" w:lineRule="exact"/>
              <w:jc w:val="center"/>
              <w:rPr>
                <w:rFonts w:eastAsia="Calibri"/>
                <w:lang w:val="tt-RU" w:eastAsia="en-US"/>
              </w:rPr>
            </w:pPr>
          </w:p>
        </w:tc>
      </w:tr>
      <w:tr w:rsidR="009B034E" w:rsidTr="009B034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B034E" w:rsidRDefault="009B034E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lang w:val="be-BY" w:eastAsia="en-US"/>
              </w:rPr>
            </w:pPr>
            <w:r>
              <w:rPr>
                <w:rFonts w:eastAsia="Calibri"/>
                <w:color w:val="000000"/>
                <w:lang w:val="be-BY" w:eastAsia="en-US"/>
              </w:rPr>
              <w:t xml:space="preserve"> </w:t>
            </w:r>
          </w:p>
        </w:tc>
      </w:tr>
    </w:tbl>
    <w:p w:rsidR="009B034E" w:rsidRDefault="009B034E" w:rsidP="009B034E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   </w:t>
      </w:r>
    </w:p>
    <w:p w:rsidR="009B034E" w:rsidRDefault="009B034E" w:rsidP="009B034E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   </w:t>
      </w:r>
      <w:r>
        <w:rPr>
          <w:rFonts w:eastAsia="Calibri"/>
          <w:sz w:val="28"/>
          <w:szCs w:val="28"/>
          <w:lang w:val="tt-RU"/>
        </w:rPr>
        <w:t>РЕШЕНИЕ                       с. Старый Куклюк</w:t>
      </w:r>
      <w:r>
        <w:rPr>
          <w:rFonts w:eastAsia="Calibri"/>
          <w:sz w:val="28"/>
          <w:szCs w:val="28"/>
          <w:lang w:val="tt-RU"/>
        </w:rPr>
        <w:tab/>
        <w:t xml:space="preserve">         КАРАР</w:t>
      </w:r>
    </w:p>
    <w:p w:rsidR="009B034E" w:rsidRDefault="009B034E" w:rsidP="009B034E">
      <w:pPr>
        <w:tabs>
          <w:tab w:val="left" w:pos="6390"/>
        </w:tabs>
        <w:spacing w:line="300" w:lineRule="exact"/>
        <w:rPr>
          <w:rFonts w:eastAsia="Calibri"/>
          <w:sz w:val="24"/>
          <w:szCs w:val="24"/>
          <w:lang w:val="tt-RU"/>
        </w:rPr>
      </w:pPr>
    </w:p>
    <w:p w:rsidR="009B034E" w:rsidRDefault="009B034E" w:rsidP="009B034E">
      <w:pPr>
        <w:rPr>
          <w:rFonts w:eastAsia="Calibri"/>
          <w:color w:val="000000" w:themeColor="text1"/>
          <w:sz w:val="28"/>
          <w:szCs w:val="28"/>
          <w:lang w:val="tt-RU"/>
        </w:rPr>
      </w:pPr>
      <w:r>
        <w:rPr>
          <w:rFonts w:eastAsia="Calibri"/>
          <w:color w:val="000000" w:themeColor="text1"/>
          <w:sz w:val="28"/>
          <w:szCs w:val="28"/>
          <w:lang w:val="tt-RU"/>
        </w:rPr>
        <w:t xml:space="preserve">№ 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</w:t>
      </w:r>
      <w:r>
        <w:rPr>
          <w:rFonts w:eastAsia="Calibri"/>
          <w:color w:val="000000" w:themeColor="text1"/>
          <w:sz w:val="16"/>
          <w:szCs w:val="16"/>
          <w:lang w:val="tt-RU"/>
        </w:rPr>
        <w:t xml:space="preserve">                      </w:t>
      </w:r>
      <w:r>
        <w:rPr>
          <w:rFonts w:eastAsia="Calibri"/>
          <w:color w:val="000000" w:themeColor="text1"/>
          <w:sz w:val="16"/>
          <w:szCs w:val="16"/>
          <w:lang w:val="tt-RU"/>
        </w:rPr>
        <w:tab/>
      </w:r>
      <w:r>
        <w:rPr>
          <w:rFonts w:eastAsia="Calibri"/>
          <w:color w:val="000000" w:themeColor="text1"/>
          <w:sz w:val="28"/>
          <w:szCs w:val="28"/>
          <w:lang w:val="tt-RU"/>
        </w:rPr>
        <w:t xml:space="preserve">                                                          от “</w:t>
      </w:r>
      <w:r>
        <w:rPr>
          <w:rFonts w:eastAsia="Calibri"/>
          <w:color w:val="000000" w:themeColor="text1"/>
          <w:sz w:val="28"/>
          <w:szCs w:val="28"/>
          <w:lang w:val="tt-RU"/>
        </w:rPr>
        <w:t>__</w:t>
      </w:r>
      <w:r>
        <w:rPr>
          <w:rFonts w:eastAsia="Calibri"/>
          <w:color w:val="000000" w:themeColor="text1"/>
          <w:sz w:val="28"/>
          <w:szCs w:val="28"/>
          <w:lang w:val="tt-RU"/>
        </w:rPr>
        <w:t>” марта  2019 года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назначении публичных слушаний по проекту решения </w:t>
      </w:r>
    </w:p>
    <w:p w:rsidR="009B034E" w:rsidRDefault="009B034E" w:rsidP="009B03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</w:t>
      </w:r>
    </w:p>
    <w:p w:rsidR="009B034E" w:rsidRDefault="009B034E" w:rsidP="009B03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«Об  исполнении  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поселение» 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</w:p>
    <w:p w:rsidR="009B034E" w:rsidRDefault="009B034E" w:rsidP="009B034E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ru-RU"/>
        </w:rPr>
        <w:t>Республики Татарстан за 2018 год»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ind w:firstLine="720"/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Татарстан, Совет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</w:t>
      </w:r>
    </w:p>
    <w:p w:rsidR="009B034E" w:rsidRDefault="009B034E" w:rsidP="009B034E">
      <w:pPr>
        <w:ind w:firstLine="540"/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9B034E" w:rsidRDefault="009B034E" w:rsidP="009B034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РЕШИЛ:</w:t>
      </w:r>
    </w:p>
    <w:p w:rsidR="009B034E" w:rsidRDefault="009B034E" w:rsidP="009B034E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p w:rsidR="009B034E" w:rsidRDefault="009B034E" w:rsidP="009B034E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Вынести на публичные слушания проект решения Совета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за 2018 год».</w:t>
      </w:r>
    </w:p>
    <w:p w:rsidR="009B034E" w:rsidRDefault="009B034E" w:rsidP="009B034E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Опубликовать настоящее решение в средствах массовой информации (официальный сайт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района) и обнародовать путем вывешивания  «20» марта 2019 года на информационном стенде  поселения:</w:t>
      </w:r>
    </w:p>
    <w:p w:rsidR="009B034E" w:rsidRDefault="009B034E" w:rsidP="009B034E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проект решения Совета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 сельского поселения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за 2019 год» (приложение №1);</w:t>
      </w:r>
    </w:p>
    <w:p w:rsidR="009B034E" w:rsidRDefault="009B034E" w:rsidP="009B034E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порядок учета предложений граждан к проекту решения Совета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«Об исполнении бюджета муниципального </w:t>
      </w:r>
      <w:r>
        <w:rPr>
          <w:sz w:val="28"/>
          <w:szCs w:val="28"/>
          <w:lang w:val="ru-RU"/>
        </w:rPr>
        <w:lastRenderedPageBreak/>
        <w:t>образования «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за 2018 год» и участия граждан в его обсуждении (приложение №2).</w:t>
      </w:r>
    </w:p>
    <w:p w:rsidR="009B034E" w:rsidRDefault="009B034E" w:rsidP="009B034E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Провести публичные слушания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за 2018 год» «2» апреля 2019 года в 13.00 часов в здании СДК 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поселения, по адресу: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 xml:space="preserve">. Старый </w:t>
      </w:r>
      <w:proofErr w:type="spellStart"/>
      <w:r>
        <w:rPr>
          <w:sz w:val="28"/>
          <w:szCs w:val="28"/>
          <w:lang w:val="ru-RU"/>
        </w:rPr>
        <w:t>Куклюк</w:t>
      </w:r>
      <w:proofErr w:type="spellEnd"/>
      <w:r>
        <w:rPr>
          <w:sz w:val="28"/>
          <w:szCs w:val="28"/>
          <w:lang w:val="ru-RU"/>
        </w:rPr>
        <w:t>, ул. Школьная, д.36.</w:t>
      </w:r>
    </w:p>
    <w:p w:rsidR="009B034E" w:rsidRDefault="009B034E" w:rsidP="009B034E">
      <w:pPr>
        <w:ind w:firstLine="540"/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Исполнительному комитету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за 2018 год».</w:t>
      </w:r>
    </w:p>
    <w:p w:rsidR="009B034E" w:rsidRDefault="009B034E" w:rsidP="009B034E">
      <w:pPr>
        <w:ind w:firstLine="540"/>
        <w:jc w:val="both"/>
        <w:rPr>
          <w:b/>
          <w:sz w:val="28"/>
          <w:szCs w:val="28"/>
          <w:lang w:val="ru-RU"/>
        </w:rPr>
      </w:pPr>
    </w:p>
    <w:p w:rsidR="009B034E" w:rsidRDefault="009B034E" w:rsidP="009B034E">
      <w:pPr>
        <w:ind w:firstLine="540"/>
        <w:jc w:val="both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b/>
          <w:sz w:val="28"/>
          <w:szCs w:val="28"/>
          <w:lang w:val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184"/>
      </w:tblGrid>
      <w:tr w:rsidR="009B034E" w:rsidTr="009B034E">
        <w:tc>
          <w:tcPr>
            <w:tcW w:w="4536" w:type="dxa"/>
            <w:hideMark/>
          </w:tcPr>
          <w:p w:rsidR="009B034E" w:rsidRDefault="009B034E">
            <w:pPr>
              <w:widowControl w:val="0"/>
              <w:spacing w:line="276" w:lineRule="auto"/>
              <w:rPr>
                <w:i/>
                <w:sz w:val="16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Председатель</w:t>
            </w:r>
            <w:proofErr w:type="spellEnd"/>
          </w:p>
        </w:tc>
        <w:tc>
          <w:tcPr>
            <w:tcW w:w="5184" w:type="dxa"/>
          </w:tcPr>
          <w:p w:rsidR="009B034E" w:rsidRDefault="009B034E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Бахметов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А.Б.</w:t>
            </w:r>
          </w:p>
          <w:p w:rsidR="009B034E" w:rsidRDefault="009B034E">
            <w:pPr>
              <w:widowControl w:val="0"/>
              <w:spacing w:line="276" w:lineRule="auto"/>
              <w:ind w:left="113" w:right="113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9B034E" w:rsidRDefault="009B034E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  <w:p w:rsidR="009B034E" w:rsidRDefault="009B034E">
            <w:pPr>
              <w:widowControl w:val="0"/>
              <w:spacing w:line="276" w:lineRule="auto"/>
              <w:ind w:left="113" w:right="113"/>
              <w:rPr>
                <w:sz w:val="28"/>
                <w:szCs w:val="28"/>
                <w:lang w:eastAsia="en-US"/>
              </w:rPr>
            </w:pPr>
          </w:p>
        </w:tc>
      </w:tr>
    </w:tbl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firstLine="540"/>
        <w:jc w:val="both"/>
        <w:rPr>
          <w:color w:val="FF0000"/>
          <w:sz w:val="28"/>
          <w:szCs w:val="28"/>
          <w:lang w:val="ru-RU"/>
        </w:rPr>
      </w:pPr>
    </w:p>
    <w:p w:rsidR="009B034E" w:rsidRDefault="009B034E" w:rsidP="009B034E">
      <w:pPr>
        <w:ind w:left="5940" w:firstLine="540"/>
        <w:jc w:val="both"/>
        <w:rPr>
          <w:lang w:val="ru-RU"/>
        </w:rPr>
      </w:pPr>
    </w:p>
    <w:p w:rsidR="009B034E" w:rsidRDefault="009B034E" w:rsidP="009B034E">
      <w:pPr>
        <w:ind w:left="5940" w:firstLine="540"/>
        <w:jc w:val="both"/>
        <w:rPr>
          <w:lang w:val="ru-RU"/>
        </w:rPr>
      </w:pPr>
    </w:p>
    <w:p w:rsidR="009B034E" w:rsidRDefault="009B034E" w:rsidP="009B034E">
      <w:pPr>
        <w:ind w:left="5940" w:firstLine="540"/>
        <w:jc w:val="both"/>
        <w:rPr>
          <w:lang w:val="ru-RU"/>
        </w:rPr>
      </w:pPr>
    </w:p>
    <w:p w:rsidR="009B034E" w:rsidRDefault="009B034E" w:rsidP="009B034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Приложение №1 к решению Совета</w:t>
      </w:r>
    </w:p>
    <w:p w:rsidR="009B034E" w:rsidRDefault="009B034E" w:rsidP="009B034E">
      <w:pPr>
        <w:ind w:left="6372"/>
        <w:rPr>
          <w:lang w:val="ru-RU"/>
        </w:rPr>
      </w:pPr>
      <w:proofErr w:type="spellStart"/>
      <w:r>
        <w:rPr>
          <w:lang w:val="ru-RU"/>
        </w:rPr>
        <w:t>Старокуклюкского</w:t>
      </w:r>
      <w:proofErr w:type="spellEnd"/>
      <w:r>
        <w:rPr>
          <w:lang w:val="ru-RU"/>
        </w:rPr>
        <w:t xml:space="preserve">  сельского поселения  </w:t>
      </w:r>
    </w:p>
    <w:p w:rsidR="009B034E" w:rsidRDefault="009B034E" w:rsidP="009B034E">
      <w:pPr>
        <w:ind w:left="6372"/>
        <w:rPr>
          <w:lang w:val="ru-RU"/>
        </w:rPr>
      </w:pPr>
      <w:r>
        <w:rPr>
          <w:lang w:val="ru-RU"/>
        </w:rPr>
        <w:t>от «</w:t>
      </w:r>
      <w:r>
        <w:rPr>
          <w:lang w:val="ru-RU"/>
        </w:rPr>
        <w:t>____</w:t>
      </w:r>
      <w:r>
        <w:rPr>
          <w:lang w:val="ru-RU"/>
        </w:rPr>
        <w:t xml:space="preserve">»   марта  2019г. № </w:t>
      </w:r>
      <w:r>
        <w:rPr>
          <w:lang w:val="ru-RU"/>
        </w:rPr>
        <w:t>___</w:t>
      </w:r>
    </w:p>
    <w:p w:rsidR="009B034E" w:rsidRDefault="009B034E" w:rsidP="009B034E">
      <w:pPr>
        <w:tabs>
          <w:tab w:val="left" w:pos="32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решения</w:t>
      </w:r>
    </w:p>
    <w:p w:rsidR="009B034E" w:rsidRDefault="009B034E" w:rsidP="009B034E">
      <w:pPr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9B034E" w:rsidRDefault="009B034E" w:rsidP="009B03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9B034E" w:rsidRDefault="009B034E" w:rsidP="009B034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9B034E" w:rsidRDefault="009B034E" w:rsidP="009B034E">
      <w:pPr>
        <w:ind w:left="8496"/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«____»__________2019 </w:t>
      </w:r>
      <w:proofErr w:type="spellStart"/>
      <w:r>
        <w:rPr>
          <w:sz w:val="28"/>
          <w:szCs w:val="28"/>
        </w:rPr>
        <w:t>года</w:t>
      </w:r>
      <w:proofErr w:type="spellEnd"/>
    </w:p>
    <w:p w:rsidR="009B034E" w:rsidRDefault="009B034E" w:rsidP="009B034E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9B034E" w:rsidTr="009B034E">
        <w:tc>
          <w:tcPr>
            <w:tcW w:w="3888" w:type="dxa"/>
          </w:tcPr>
          <w:p w:rsidR="009B034E" w:rsidRDefault="009B034E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b/>
                <w:sz w:val="28"/>
                <w:szCs w:val="28"/>
                <w:lang w:val="ru-RU" w:eastAsia="en-US"/>
              </w:rPr>
              <w:t>Старокуклюкского</w:t>
            </w:r>
            <w:proofErr w:type="spellEnd"/>
            <w:r>
              <w:rPr>
                <w:b/>
                <w:sz w:val="28"/>
                <w:szCs w:val="28"/>
                <w:lang w:val="ru-RU" w:eastAsia="en-US"/>
              </w:rPr>
              <w:t xml:space="preserve"> сельского поселения за 2018 год</w:t>
            </w:r>
          </w:p>
          <w:p w:rsidR="009B034E" w:rsidRDefault="009B034E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9B034E" w:rsidRDefault="009B034E" w:rsidP="009B03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Заслушав и обсудив информацию Председателя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Бахметова</w:t>
      </w:r>
      <w:proofErr w:type="spellEnd"/>
      <w:r>
        <w:rPr>
          <w:sz w:val="28"/>
          <w:szCs w:val="28"/>
          <w:lang w:val="ru-RU"/>
        </w:rPr>
        <w:t xml:space="preserve"> А.Б.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 исполнении бюджета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B034E" w:rsidRDefault="009B034E" w:rsidP="009B034E">
      <w:pPr>
        <w:jc w:val="center"/>
        <w:rPr>
          <w:b/>
          <w:sz w:val="28"/>
          <w:szCs w:val="28"/>
        </w:rPr>
      </w:pPr>
    </w:p>
    <w:p w:rsidR="009B034E" w:rsidRDefault="009B034E" w:rsidP="009B034E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2018 год по доходам в сумме  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001,0</w:t>
      </w:r>
      <w:r>
        <w:rPr>
          <w:sz w:val="28"/>
          <w:szCs w:val="28"/>
          <w:lang w:val="ru-RU"/>
        </w:rPr>
        <w:t xml:space="preserve"> тыс. рублей, по расходам в сумме </w:t>
      </w:r>
      <w:r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 xml:space="preserve">958,6 </w:t>
      </w:r>
      <w:r>
        <w:rPr>
          <w:sz w:val="28"/>
          <w:szCs w:val="28"/>
          <w:lang w:val="ru-RU"/>
        </w:rPr>
        <w:t xml:space="preserve">тыс. рублей, с превышением доходов над расходами в сумме </w:t>
      </w:r>
      <w:r>
        <w:rPr>
          <w:b/>
          <w:sz w:val="28"/>
          <w:szCs w:val="28"/>
          <w:lang w:val="ru-RU"/>
        </w:rPr>
        <w:t>42,4</w:t>
      </w:r>
      <w:r>
        <w:rPr>
          <w:sz w:val="28"/>
          <w:szCs w:val="28"/>
          <w:lang w:val="ru-RU"/>
        </w:rPr>
        <w:t xml:space="preserve"> тыс. рублей, и со следующими показателями:</w:t>
      </w:r>
    </w:p>
    <w:p w:rsidR="009B034E" w:rsidRDefault="009B034E" w:rsidP="009B034E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доходов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по кодам классификации доходов бюджетов согласно приложению 1 к настоящему Решению;</w:t>
      </w:r>
    </w:p>
    <w:p w:rsidR="009B034E" w:rsidRDefault="009B034E" w:rsidP="009B03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по ведомственной структуре расходов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согласно приложению 2 к настоящему Решению;</w:t>
      </w:r>
    </w:p>
    <w:p w:rsidR="009B034E" w:rsidRDefault="009B034E" w:rsidP="009B03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расходов бюджета </w:t>
      </w:r>
      <w:r>
        <w:rPr>
          <w:bCs/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9B034E" w:rsidRDefault="009B034E" w:rsidP="009B034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расходов бюджета </w:t>
      </w:r>
      <w:r>
        <w:rPr>
          <w:b w:val="0"/>
          <w:bCs w:val="0"/>
          <w:szCs w:val="28"/>
        </w:rPr>
        <w:t>поселения</w:t>
      </w:r>
      <w:r>
        <w:rPr>
          <w:szCs w:val="28"/>
        </w:rPr>
        <w:t xml:space="preserve"> </w:t>
      </w:r>
      <w:r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9B034E" w:rsidRDefault="009B034E" w:rsidP="009B034E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источников финансирования дефицита бюджета </w:t>
      </w:r>
      <w:r>
        <w:rPr>
          <w:b w:val="0"/>
          <w:bCs w:val="0"/>
          <w:szCs w:val="28"/>
        </w:rPr>
        <w:t>поселения</w:t>
      </w:r>
      <w:r>
        <w:rPr>
          <w:b w:val="0"/>
          <w:szCs w:val="28"/>
        </w:rPr>
        <w:t xml:space="preserve"> по кодам </w:t>
      </w:r>
      <w:proofErr w:type="gramStart"/>
      <w:r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>
        <w:rPr>
          <w:b w:val="0"/>
          <w:szCs w:val="28"/>
        </w:rPr>
        <w:t xml:space="preserve"> согласно приложению 5 к настоящему Решению;</w:t>
      </w:r>
    </w:p>
    <w:p w:rsidR="009B034E" w:rsidRDefault="009B034E" w:rsidP="009B034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 xml:space="preserve">по распределению межбюджетных трансфертов из бюджета </w:t>
      </w:r>
      <w:r>
        <w:rPr>
          <w:sz w:val="28"/>
          <w:szCs w:val="28"/>
          <w:lang w:val="ru-RU"/>
        </w:rPr>
        <w:t xml:space="preserve">поселения </w:t>
      </w:r>
      <w:r>
        <w:rPr>
          <w:bCs/>
          <w:sz w:val="28"/>
          <w:szCs w:val="28"/>
          <w:lang w:val="ru-RU"/>
        </w:rPr>
        <w:t>согласно приложению 6 к настоящему Решению;</w:t>
      </w:r>
    </w:p>
    <w:p w:rsidR="009B034E" w:rsidRDefault="009B034E" w:rsidP="009B034E">
      <w:pPr>
        <w:tabs>
          <w:tab w:val="num" w:pos="1134"/>
        </w:tabs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 распределению </w:t>
      </w:r>
      <w:r>
        <w:rPr>
          <w:bCs/>
          <w:sz w:val="28"/>
          <w:szCs w:val="28"/>
          <w:lang w:val="ru-RU"/>
        </w:rPr>
        <w:t xml:space="preserve">межбюджетных трансфертов, </w:t>
      </w:r>
      <w:r>
        <w:rPr>
          <w:sz w:val="28"/>
          <w:szCs w:val="28"/>
          <w:lang w:val="ru-RU"/>
        </w:rPr>
        <w:t xml:space="preserve">передаваемых из бюджета 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Татарстан в бюджет поселения, за 2018 год</w:t>
      </w:r>
      <w:r>
        <w:rPr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согласно приложению 7 </w:t>
      </w:r>
      <w:r>
        <w:rPr>
          <w:bCs/>
          <w:sz w:val="28"/>
          <w:szCs w:val="28"/>
          <w:lang w:val="ru-RU"/>
        </w:rPr>
        <w:t>к настоящему Решению.</w:t>
      </w:r>
    </w:p>
    <w:p w:rsidR="009B034E" w:rsidRDefault="009B034E" w:rsidP="009B034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подлежит официальному опубликованию.</w:t>
      </w:r>
    </w:p>
    <w:p w:rsidR="009B034E" w:rsidRDefault="009B034E" w:rsidP="009B034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9B034E" w:rsidRDefault="009B034E" w:rsidP="009B034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</w:t>
      </w:r>
      <w:proofErr w:type="spellStart"/>
      <w:r>
        <w:rPr>
          <w:b/>
          <w:sz w:val="28"/>
          <w:szCs w:val="28"/>
          <w:lang w:val="ru-RU"/>
        </w:rPr>
        <w:t>Старокуклюкского</w:t>
      </w:r>
      <w:proofErr w:type="spellEnd"/>
    </w:p>
    <w:p w:rsidR="009B034E" w:rsidRDefault="009B034E" w:rsidP="009B034E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                                                                     </w:t>
      </w:r>
      <w:proofErr w:type="spellStart"/>
      <w:r>
        <w:rPr>
          <w:b/>
          <w:sz w:val="28"/>
          <w:szCs w:val="28"/>
          <w:lang w:val="ru-RU"/>
        </w:rPr>
        <w:t>А.Б.Бахметов</w:t>
      </w:r>
      <w:proofErr w:type="spellEnd"/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both"/>
        <w:rPr>
          <w:b/>
          <w:sz w:val="28"/>
          <w:szCs w:val="28"/>
          <w:lang w:val="ru-RU"/>
        </w:rPr>
      </w:pPr>
    </w:p>
    <w:p w:rsidR="009B034E" w:rsidRDefault="009B034E" w:rsidP="009B034E">
      <w:pPr>
        <w:ind w:left="5664" w:firstLine="540"/>
        <w:jc w:val="both"/>
        <w:rPr>
          <w:b/>
          <w:sz w:val="28"/>
          <w:szCs w:val="28"/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</w:p>
    <w:p w:rsidR="009B034E" w:rsidRDefault="009B034E" w:rsidP="009B034E">
      <w:pPr>
        <w:ind w:left="5664" w:firstLine="540"/>
        <w:jc w:val="both"/>
        <w:rPr>
          <w:lang w:val="ru-RU"/>
        </w:rPr>
      </w:pPr>
      <w:r>
        <w:rPr>
          <w:lang w:val="ru-RU"/>
        </w:rPr>
        <w:t>Приложение №2</w:t>
      </w:r>
    </w:p>
    <w:p w:rsidR="009B034E" w:rsidRDefault="009B034E" w:rsidP="009B034E">
      <w:pPr>
        <w:ind w:left="6204"/>
        <w:jc w:val="both"/>
        <w:rPr>
          <w:lang w:val="ru-RU"/>
        </w:rPr>
      </w:pPr>
      <w:r>
        <w:rPr>
          <w:lang w:val="ru-RU"/>
        </w:rPr>
        <w:t xml:space="preserve">к решению Совета </w:t>
      </w:r>
      <w:proofErr w:type="spellStart"/>
      <w:r>
        <w:rPr>
          <w:lang w:val="ru-RU"/>
        </w:rPr>
        <w:t>Старокуклюкского</w:t>
      </w:r>
      <w:proofErr w:type="spellEnd"/>
      <w:r>
        <w:rPr>
          <w:lang w:val="ru-RU"/>
        </w:rPr>
        <w:t xml:space="preserve">   </w:t>
      </w:r>
    </w:p>
    <w:p w:rsidR="009B034E" w:rsidRDefault="009B034E" w:rsidP="009B034E">
      <w:pPr>
        <w:ind w:left="6204"/>
        <w:jc w:val="both"/>
        <w:rPr>
          <w:lang w:val="ru-RU"/>
        </w:rPr>
      </w:pPr>
      <w:r>
        <w:rPr>
          <w:lang w:val="ru-RU"/>
        </w:rPr>
        <w:t xml:space="preserve">сельского     поселения                                                                                                                     </w:t>
      </w:r>
    </w:p>
    <w:p w:rsidR="009B034E" w:rsidRDefault="009B034E" w:rsidP="009B034E">
      <w:pPr>
        <w:ind w:left="5664" w:firstLine="540"/>
        <w:jc w:val="both"/>
        <w:rPr>
          <w:lang w:val="ru-RU"/>
        </w:rPr>
      </w:pPr>
      <w:r>
        <w:rPr>
          <w:lang w:val="ru-RU"/>
        </w:rPr>
        <w:t>«</w:t>
      </w:r>
      <w:r>
        <w:rPr>
          <w:lang w:val="ru-RU"/>
        </w:rPr>
        <w:t>___</w:t>
      </w:r>
      <w:r>
        <w:rPr>
          <w:lang w:val="ru-RU"/>
        </w:rPr>
        <w:t xml:space="preserve">»   марта  2019 г. № </w:t>
      </w:r>
      <w:r>
        <w:rPr>
          <w:lang w:val="ru-RU"/>
        </w:rPr>
        <w:t>__</w:t>
      </w:r>
      <w:bookmarkStart w:id="0" w:name="_GoBack"/>
      <w:bookmarkEnd w:id="0"/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учета предложений граждан к проекту решения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«Об исполнении бюджета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Старокуклюкское</w:t>
      </w:r>
      <w:proofErr w:type="spellEnd"/>
      <w:r>
        <w:rPr>
          <w:b/>
          <w:sz w:val="28"/>
          <w:szCs w:val="28"/>
          <w:lang w:val="ru-RU"/>
        </w:rPr>
        <w:t xml:space="preserve">  сельское поселение 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Елабужского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за 2018 год» 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 участия граждан в его обсуждении </w:t>
      </w:r>
    </w:p>
    <w:p w:rsidR="009B034E" w:rsidRDefault="009B034E" w:rsidP="009B034E">
      <w:pPr>
        <w:jc w:val="center"/>
        <w:rPr>
          <w:b/>
          <w:sz w:val="28"/>
          <w:szCs w:val="28"/>
          <w:lang w:val="ru-RU"/>
        </w:rPr>
      </w:pPr>
    </w:p>
    <w:p w:rsidR="009B034E" w:rsidRDefault="009B034E" w:rsidP="009B034E">
      <w:pPr>
        <w:tabs>
          <w:tab w:val="left" w:pos="0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к проекту решения «Об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Старокуклюкское</w:t>
      </w:r>
      <w:proofErr w:type="spellEnd"/>
      <w:r>
        <w:rPr>
          <w:sz w:val="28"/>
          <w:szCs w:val="28"/>
          <w:lang w:val="ru-RU"/>
        </w:rPr>
        <w:t xml:space="preserve">  сельское поселение» </w:t>
      </w:r>
      <w:proofErr w:type="spellStart"/>
      <w:r>
        <w:rPr>
          <w:sz w:val="28"/>
          <w:szCs w:val="28"/>
          <w:lang w:val="ru-RU"/>
        </w:rPr>
        <w:t>Елабужского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за 2018 год» вносятся в  Совет </w:t>
      </w:r>
      <w:proofErr w:type="spellStart"/>
      <w:r>
        <w:rPr>
          <w:sz w:val="28"/>
          <w:szCs w:val="28"/>
          <w:lang w:val="ru-RU"/>
        </w:rPr>
        <w:t>Старокуклюкского</w:t>
      </w:r>
      <w:proofErr w:type="spellEnd"/>
      <w:r>
        <w:rPr>
          <w:sz w:val="28"/>
          <w:szCs w:val="28"/>
          <w:lang w:val="ru-RU"/>
        </w:rPr>
        <w:t xml:space="preserve">   сельского поселения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адресу: </w:t>
      </w:r>
      <w:proofErr w:type="gramStart"/>
      <w:r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 xml:space="preserve">. Старый </w:t>
      </w:r>
      <w:proofErr w:type="spellStart"/>
      <w:r>
        <w:rPr>
          <w:color w:val="000000"/>
          <w:sz w:val="28"/>
          <w:szCs w:val="28"/>
          <w:lang w:val="ru-RU"/>
        </w:rPr>
        <w:t>Куклюк</w:t>
      </w:r>
      <w:proofErr w:type="spellEnd"/>
      <w:r>
        <w:rPr>
          <w:color w:val="000000"/>
          <w:sz w:val="28"/>
          <w:szCs w:val="28"/>
          <w:lang w:val="ru-RU"/>
        </w:rPr>
        <w:t>, ул. Садовая, д.1А</w:t>
      </w:r>
      <w:r>
        <w:rPr>
          <w:sz w:val="28"/>
          <w:szCs w:val="28"/>
          <w:lang w:val="ru-RU"/>
        </w:rPr>
        <w:t>, или по факсу 7-48-32 в письменной форме в виде таблицы поправок, согласно прилагаемому образцу:</w:t>
      </w:r>
    </w:p>
    <w:p w:rsidR="009B034E" w:rsidRDefault="009B034E" w:rsidP="009B034E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9B034E" w:rsidTr="009B034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ind w:right="-72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Вопросы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вынесенные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обсуждение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Рекомендации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Предложения</w:t>
            </w:r>
          </w:p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val="ru-RU" w:eastAsia="en-US"/>
              </w:rPr>
            </w:pPr>
            <w:r>
              <w:rPr>
                <w:b/>
                <w:lang w:val="ru-RU" w:eastAsia="en-US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Предложение</w:t>
            </w:r>
            <w:proofErr w:type="spellEnd"/>
          </w:p>
          <w:p w:rsidR="009B034E" w:rsidRDefault="009B034E">
            <w:pPr>
              <w:spacing w:line="254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внесено</w:t>
            </w:r>
            <w:proofErr w:type="spellEnd"/>
          </w:p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поддержано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Итоги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рассмотрения</w:t>
            </w:r>
            <w:proofErr w:type="spellEnd"/>
          </w:p>
          <w:p w:rsidR="009B034E" w:rsidRDefault="009B034E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вопроса</w:t>
            </w:r>
            <w:proofErr w:type="spellEnd"/>
          </w:p>
        </w:tc>
      </w:tr>
      <w:tr w:rsidR="009B034E" w:rsidTr="009B034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Формулировка</w:t>
            </w:r>
            <w:proofErr w:type="spellEnd"/>
          </w:p>
          <w:p w:rsidR="009B034E" w:rsidRDefault="009B034E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вопроса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Текст</w:t>
            </w:r>
            <w:proofErr w:type="spellEnd"/>
          </w:p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рекомендации</w:t>
            </w:r>
            <w:proofErr w:type="spellEnd"/>
          </w:p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предложения</w:t>
            </w:r>
            <w:proofErr w:type="spellEnd"/>
          </w:p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Ф.И.О.</w:t>
            </w:r>
          </w:p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эксперта</w:t>
            </w:r>
          </w:p>
          <w:p w:rsidR="009B034E" w:rsidRDefault="009B034E">
            <w:pPr>
              <w:spacing w:line="254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E" w:rsidRDefault="009B034E">
            <w:pPr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9B034E" w:rsidRDefault="009B034E" w:rsidP="009B034E">
      <w:pPr>
        <w:jc w:val="center"/>
        <w:rPr>
          <w:sz w:val="28"/>
          <w:szCs w:val="28"/>
          <w:lang w:val="ru-RU"/>
        </w:rPr>
      </w:pPr>
    </w:p>
    <w:p w:rsidR="009B034E" w:rsidRDefault="009B034E" w:rsidP="009B034E">
      <w:pPr>
        <w:numPr>
          <w:ilvl w:val="0"/>
          <w:numId w:val="2"/>
        </w:numPr>
        <w:tabs>
          <w:tab w:val="num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>.</w:t>
      </w:r>
    </w:p>
    <w:p w:rsidR="009B034E" w:rsidRDefault="009B034E" w:rsidP="009B034E">
      <w:pPr>
        <w:ind w:left="709"/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Заявки на участие в публичных слушаниях с правом выступления подаются по адресу: </w:t>
      </w:r>
      <w:proofErr w:type="gramStart"/>
      <w:r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 xml:space="preserve">. Старый </w:t>
      </w:r>
      <w:proofErr w:type="spellStart"/>
      <w:r>
        <w:rPr>
          <w:color w:val="000000"/>
          <w:sz w:val="28"/>
          <w:szCs w:val="28"/>
          <w:lang w:val="ru-RU"/>
        </w:rPr>
        <w:t>Куклюк</w:t>
      </w:r>
      <w:proofErr w:type="spellEnd"/>
      <w:r>
        <w:rPr>
          <w:color w:val="000000"/>
          <w:sz w:val="28"/>
          <w:szCs w:val="28"/>
          <w:lang w:val="ru-RU"/>
        </w:rPr>
        <w:t>, ул. Садовая, д.1А</w:t>
      </w:r>
      <w:r>
        <w:rPr>
          <w:sz w:val="28"/>
          <w:szCs w:val="28"/>
          <w:lang w:val="ru-RU"/>
        </w:rPr>
        <w:t>, лично или по почте (с пометкой на конверте «Публичные слушания»), а также по факсу 7-48-32</w:t>
      </w:r>
    </w:p>
    <w:p w:rsidR="009B034E" w:rsidRDefault="009B034E" w:rsidP="009B034E">
      <w:pPr>
        <w:ind w:firstLine="709"/>
        <w:jc w:val="both"/>
        <w:rPr>
          <w:sz w:val="28"/>
          <w:szCs w:val="28"/>
          <w:lang w:val="ru-RU"/>
        </w:rPr>
      </w:pPr>
    </w:p>
    <w:p w:rsidR="009B034E" w:rsidRDefault="009B034E" w:rsidP="009B034E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Заявки и предложения принимаются в рабочие дни с 8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до 17</w:t>
      </w:r>
      <w:r>
        <w:rPr>
          <w:sz w:val="28"/>
          <w:szCs w:val="28"/>
          <w:vertAlign w:val="superscript"/>
          <w:lang w:val="ru-RU"/>
        </w:rPr>
        <w:t>00</w:t>
      </w:r>
      <w:r>
        <w:rPr>
          <w:sz w:val="28"/>
          <w:szCs w:val="28"/>
          <w:lang w:val="ru-RU"/>
        </w:rPr>
        <w:t xml:space="preserve"> часов до 29 марта 2019г.</w:t>
      </w:r>
    </w:p>
    <w:p w:rsidR="009B034E" w:rsidRDefault="009B034E" w:rsidP="009B034E">
      <w:pPr>
        <w:ind w:firstLine="540"/>
        <w:jc w:val="both"/>
        <w:rPr>
          <w:b/>
          <w:sz w:val="28"/>
          <w:szCs w:val="28"/>
          <w:lang w:val="ru-RU"/>
        </w:rPr>
      </w:pPr>
    </w:p>
    <w:p w:rsidR="006D650E" w:rsidRPr="009B034E" w:rsidRDefault="006D650E">
      <w:pPr>
        <w:rPr>
          <w:lang w:val="ru-RU"/>
        </w:rPr>
      </w:pPr>
    </w:p>
    <w:sectPr w:rsidR="006D650E" w:rsidRPr="009B034E" w:rsidSect="009B03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6"/>
    <w:rsid w:val="00392E96"/>
    <w:rsid w:val="006D650E"/>
    <w:rsid w:val="009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B034E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9B0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4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B034E"/>
    <w:pPr>
      <w:ind w:left="5664"/>
    </w:pPr>
    <w:rPr>
      <w:b/>
      <w:bCs/>
      <w:sz w:val="28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9B03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3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34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2019-03-21T08:10:00Z</cp:lastPrinted>
  <dcterms:created xsi:type="dcterms:W3CDTF">2019-03-21T08:07:00Z</dcterms:created>
  <dcterms:modified xsi:type="dcterms:W3CDTF">2019-03-21T08:11:00Z</dcterms:modified>
</cp:coreProperties>
</file>